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firstLine="708"/>
        <w:jc w:val="left"/>
        <w:rPr>
          <w:rFonts w:ascii="Times New Roman" w:hAnsi="Times New Roman" w:cs="Times New Roman"/>
          <w:b/>
          <w:bCs/>
          <w:spacing w:val="-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    Управление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highlight w:val="none"/>
        </w:rPr>
      </w:r>
    </w:p>
    <w:p>
      <w:pPr>
        <w:pStyle w:val="838"/>
        <w:ind w:left="0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r>
    </w:p>
    <w:p>
      <w:pPr>
        <w:pStyle w:val="838"/>
        <w:ind w:left="0" w:right="0" w:firstLine="0"/>
        <w:jc w:val="left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Консультант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отдела капитального ремонта многоквартирных домов.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none"/>
        </w:rPr>
      </w:r>
    </w:p>
    <w:p>
      <w:pPr>
        <w:pStyle w:val="838"/>
        <w:ind w:left="709" w:right="0" w:firstLine="0"/>
        <w:jc w:val="left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«Юриспруденция», «Экономика», «Менеджмент»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, «Государственное и муниципальное управление», «Архитектура», «Градостроительство», «Теплоэнергетика и теплотехника», «Электроэнергетика и электротехника», «Те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хника и технологии строительства», «Строительство», «Строительство уникальных зданий и сооружений», «Ландшафтная архитектура», «Жилищное хозяйство и коммунальная инфраструктура» или иной специальности, направлению подготовки, для которой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установлено соответствие специальности, направлению подготовки, указанным в предыдущих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cs="Times New Roman"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pacing w:val="-4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подготовке заключений и отзывов на проекты федеральных законов и иных правовых актов Забайкальского края, поступающих на рассмотрение в отдел;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разработке проектов правовых актов, а также методических материалов по вопросам, входящим в компетенцию отдела;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формировании проекта региональной программы капитального ремонта общего имущества в многоквартирных домах, расположенных на территории Забайкальского края и изменений в нее;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сбор и рассмотрение документов, представляемых органами местного самоуправления муниципальных образований для формирования (актуализации) региональной программы капитального ремонта в многоквартирных домах, расположенных на территории Забайкальского края;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проведении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мониторинга реализации региональной программы капитального ремонта общего имущества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в многоквартирных домах, расположенных на территории Забайкальского края, краткосрочных планов ее реализации;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разрабатывать порядок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использования критериев определения очередности проведения капитального ремонта общего имущества многоквартирных домов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контроль за использованием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критериев определения очередности проведения капитального ремонта общего имущества многоквартирных домов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муниципальными образованиями при формировании программ;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методическое обеспечение по разработке (актуализации) региональной программы по проведению капитального ремонта общего имущества в многоквартирных домах на территории края;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взаимодействовать с Забайкальским фондом капитального ремонта многоквартирных домов;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организацию работы по формированию базы данных многоквартирных домов Забайкальского края;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проводить работу в целях ежегодной актуализация региональной программы капитального ремонта общего имущества в многоквартирных домах, распо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ложенных на территории Забайкальского края, а также после завершения актуализации вносит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изменения сведений данной программы в автоматизированную систему ГИС ЖКХ;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сбор данных по форме статистической отчетности «22-ЖКХ (реформа)» и вносит сведения по данной отчетности в автоматизированную информационную систему;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осуществлять сбор данных для подготовки отчетност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 о реализации региональной программы капитального ремонта общего имущества в многоквартирных домах, расположенных на территории Забайкальского края, и ее краткосрочных планов, а также о выполнении условий предоставления финансовой поддержки, о расходовани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и средств государственной корпорации – Фонда содействия реформированию жилищно-коммунального хозяйства муниципальными образованиями, Забайкальским фондом капитального ремонта многоквартирных домов, получившими финансовую поддержку за счет средств ППК «Фонд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 развития территорий», бюджета Забайкальского края и местных бюджетов;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участвовать в оказании информационного и методического содействия органам местного самоуправления муниципальных образований, собственникам помещений в многоквартирных домах по вопросам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выбора способа формирования фонда капитального ремонта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2025-04-16T03:31:32Z</dcterms:modified>
</cp:coreProperties>
</file>